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w:t>
            </w:r>
            <w:r w:rsidR="006C2577">
              <w:rPr>
                <w:sz w:val="26"/>
                <w:szCs w:val="26"/>
              </w:rPr>
              <w:t>локальный сметный расчет</w:t>
            </w:r>
            <w:r w:rsidRPr="00280B65">
              <w:rPr>
                <w:sz w:val="26"/>
                <w:szCs w:val="26"/>
              </w:rPr>
              <w:t>)</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14E9D" w:rsidP="000E6778">
      <w:pPr>
        <w:shd w:val="clear" w:color="auto" w:fill="FFFFFF"/>
        <w:ind w:left="830"/>
        <w:jc w:val="center"/>
        <w:rPr>
          <w:b/>
          <w:bCs/>
          <w:sz w:val="26"/>
          <w:szCs w:val="26"/>
        </w:rPr>
      </w:pPr>
      <w:bookmarkStart w:id="2" w:name="_GoBack"/>
      <w:bookmarkEnd w:id="2"/>
      <w:r w:rsidRPr="00414E9D">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E5A" w:rsidRDefault="00E25E5A">
      <w:r>
        <w:separator/>
      </w:r>
    </w:p>
  </w:endnote>
  <w:endnote w:type="continuationSeparator" w:id="1">
    <w:p w:rsidR="00E25E5A" w:rsidRDefault="00E25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E5A" w:rsidRDefault="00E25E5A">
      <w:r>
        <w:separator/>
      </w:r>
    </w:p>
  </w:footnote>
  <w:footnote w:type="continuationSeparator" w:id="1">
    <w:p w:rsidR="00E25E5A" w:rsidRDefault="00E25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414E9D"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14E9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C257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25E5A"/>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2549</Words>
  <Characters>14530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2015-02-25T04:41:00Z</dcterms:modified>
</cp:coreProperties>
</file>